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7" w:rsidRDefault="008819A7">
      <w:pPr>
        <w:pStyle w:val="ConsPlusTitle"/>
        <w:jc w:val="center"/>
        <w:outlineLvl w:val="0"/>
      </w:pPr>
      <w:r>
        <w:t>АДМИНИСТРАЦИЯ ГОРОДА ПЕРМИ</w:t>
      </w:r>
    </w:p>
    <w:p w:rsidR="008819A7" w:rsidRDefault="008819A7">
      <w:pPr>
        <w:pStyle w:val="ConsPlusTitle"/>
        <w:jc w:val="center"/>
      </w:pPr>
    </w:p>
    <w:p w:rsidR="008819A7" w:rsidRDefault="008819A7">
      <w:pPr>
        <w:pStyle w:val="ConsPlusTitle"/>
        <w:jc w:val="center"/>
      </w:pPr>
      <w:r>
        <w:t>ПОСТАНОВЛЕНИЕ</w:t>
      </w:r>
    </w:p>
    <w:p w:rsidR="008819A7" w:rsidRDefault="008819A7">
      <w:pPr>
        <w:pStyle w:val="ConsPlusTitle"/>
        <w:jc w:val="center"/>
      </w:pPr>
      <w:r>
        <w:t>от 6 апреля 2009 г. N 191</w:t>
      </w:r>
    </w:p>
    <w:p w:rsidR="008819A7" w:rsidRDefault="008819A7">
      <w:pPr>
        <w:pStyle w:val="ConsPlusTitle"/>
        <w:jc w:val="center"/>
      </w:pPr>
    </w:p>
    <w:p w:rsidR="008819A7" w:rsidRDefault="008819A7">
      <w:pPr>
        <w:pStyle w:val="ConsPlusTitle"/>
        <w:jc w:val="center"/>
      </w:pPr>
      <w:r>
        <w:t>ОБ АДРЕСНОМ РЕЕСТРЕ ГОРОДА ПЕРМИ</w:t>
      </w:r>
    </w:p>
    <w:p w:rsidR="008819A7" w:rsidRDefault="008819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19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9A7" w:rsidRDefault="008819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27.06.2011 </w:t>
            </w:r>
            <w:hyperlink r:id="rId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28.06.2012 </w:t>
            </w:r>
            <w:hyperlink r:id="rId6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13.09.2012 </w:t>
            </w:r>
            <w:hyperlink r:id="rId7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14.10.2013 </w:t>
            </w:r>
            <w:hyperlink r:id="rId8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04.07.2014 </w:t>
            </w:r>
            <w:hyperlink r:id="rId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06.04.2016 </w:t>
            </w:r>
            <w:hyperlink r:id="rId12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18.07.2018 </w:t>
            </w:r>
            <w:hyperlink r:id="rId13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4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ind w:firstLine="540"/>
        <w:jc w:val="both"/>
      </w:pPr>
      <w:r>
        <w:t>В целях совершенствования порядка присвоения, изменения и аннулирования адресов в городе Перми постановляю:</w:t>
      </w:r>
    </w:p>
    <w:p w:rsidR="008819A7" w:rsidRDefault="008819A7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06.04.2016 N 234)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адресном реестре города Перми.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от 14.03.2006 </w:t>
      </w:r>
      <w:hyperlink r:id="rId16" w:history="1">
        <w:r>
          <w:rPr>
            <w:color w:val="0000FF"/>
          </w:rPr>
          <w:t>N 302</w:t>
        </w:r>
      </w:hyperlink>
      <w:r>
        <w:t xml:space="preserve"> "Об адресном реестре города Перми", от 19.12.2006 </w:t>
      </w:r>
      <w:hyperlink r:id="rId17" w:history="1">
        <w:r>
          <w:rPr>
            <w:color w:val="0000FF"/>
          </w:rPr>
          <w:t>N 2464</w:t>
        </w:r>
      </w:hyperlink>
      <w:r>
        <w:t xml:space="preserve"> "О внесении изменений в Постановление администрации города от 14.03.2006 N 302 "Об адресном реестре города Перми".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3. Постановление вступает в силу с момента его официального опубликования.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сайте муниципального образования город Пермь.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Ширяеву Л.Н.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right"/>
      </w:pPr>
      <w:r>
        <w:t>Глава администрации города</w:t>
      </w:r>
    </w:p>
    <w:p w:rsidR="008819A7" w:rsidRDefault="008819A7">
      <w:pPr>
        <w:pStyle w:val="ConsPlusNormal"/>
        <w:jc w:val="right"/>
      </w:pPr>
      <w:r>
        <w:t>А.Б.КАЦ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right"/>
        <w:outlineLvl w:val="0"/>
      </w:pPr>
      <w:r>
        <w:t>УТВЕРЖДЕНО</w:t>
      </w:r>
    </w:p>
    <w:p w:rsidR="008819A7" w:rsidRDefault="008819A7">
      <w:pPr>
        <w:pStyle w:val="ConsPlusNormal"/>
        <w:jc w:val="right"/>
      </w:pPr>
      <w:r>
        <w:t>Постановлением</w:t>
      </w:r>
    </w:p>
    <w:p w:rsidR="008819A7" w:rsidRDefault="008819A7">
      <w:pPr>
        <w:pStyle w:val="ConsPlusNormal"/>
        <w:jc w:val="right"/>
      </w:pPr>
      <w:r>
        <w:t>администрации города</w:t>
      </w:r>
    </w:p>
    <w:p w:rsidR="008819A7" w:rsidRDefault="008819A7">
      <w:pPr>
        <w:pStyle w:val="ConsPlusNormal"/>
        <w:jc w:val="right"/>
      </w:pPr>
      <w:r>
        <w:t>от 06.04.2009 N 191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Title"/>
        <w:jc w:val="center"/>
      </w:pPr>
      <w:bookmarkStart w:id="0" w:name="P36"/>
      <w:bookmarkEnd w:id="0"/>
      <w:r>
        <w:t>ПОЛОЖЕНИЕ</w:t>
      </w:r>
    </w:p>
    <w:p w:rsidR="008819A7" w:rsidRDefault="008819A7">
      <w:pPr>
        <w:pStyle w:val="ConsPlusTitle"/>
        <w:jc w:val="center"/>
      </w:pPr>
      <w:r>
        <w:t>ОБ АДРЕСНОМ РЕЕСТРЕ ГОРОДА ПЕРМИ</w:t>
      </w:r>
    </w:p>
    <w:p w:rsidR="008819A7" w:rsidRDefault="008819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19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9A7" w:rsidRDefault="008819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27.03.2019 N 41-П)</w:t>
            </w:r>
          </w:p>
        </w:tc>
      </w:tr>
    </w:tbl>
    <w:p w:rsidR="008819A7" w:rsidRDefault="008819A7">
      <w:pPr>
        <w:pStyle w:val="ConsPlusNormal"/>
        <w:jc w:val="both"/>
      </w:pPr>
    </w:p>
    <w:p w:rsidR="008819A7" w:rsidRDefault="008819A7">
      <w:pPr>
        <w:pStyle w:val="ConsPlusTitle"/>
        <w:jc w:val="center"/>
        <w:outlineLvl w:val="1"/>
      </w:pPr>
      <w:r>
        <w:t>I. Общие положения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ind w:firstLine="540"/>
        <w:jc w:val="both"/>
      </w:pPr>
      <w:r>
        <w:t>1.1. Положение об адресном реестре города Перми определяет единый порядок присвоения, изменения и аннулирования адресов объектов адресации.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Присвоение, изменение, аннулирование адреса объекта адресации представляет собой совокупность действий при присвоении, изменении, аннулировании адреса объекту адресации в порядке, предусмотренном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2014 г. N 1221 "Об утверждении Правил присвоения, изменения и аннулирования адресов" (далее - Правила N 1221), а также размещение, изменение, аннулирование содержащихся в государственном адресном реестре сведений об адресах объектов адресации в соответствии</w:t>
      </w:r>
      <w:proofErr w:type="gramEnd"/>
      <w:r>
        <w:t xml:space="preserve"> с порядком ведения государственного адресного реестра в адресный реестр города Перми.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1.3. Присвоение объекту адресации адреса, изменение и аннулирование такого адреса осуществляется с использованием федеральной информационной адресной системы.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Присвоение, изменение и аннулирование адреса объекту адресации на территории города Перми, размещение, изменение, аннулирование содержащихся в государственном адресном реестре сведений об адресах и ведение адресного реестра города Перми осуществляет департамент градостроительства и архитектуры администрации города Перми (далее - департамент).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Ответственность за достоверность, полноту и актуальность сведений об адресах, содержащихся в государственном адресном реестре, а также за представление адресной информации несет департамент.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1.4. Присвоение объектам адресации адресов и аннулирование таких адресов осуществляется департаментом по собственной инициативе или на основании заявлений физических или юридических лиц, указанных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N 1221.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Изменение адресов объектов адресации осуществляется департаментом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 в порядке, установленном нормативными правовыми актами.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Адресный реестр города Перми является структурным слоем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>.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Title"/>
        <w:jc w:val="center"/>
        <w:outlineLvl w:val="1"/>
      </w:pPr>
      <w:r>
        <w:t>II. Представление сведений из адресного реестра города Перми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ind w:firstLine="540"/>
        <w:jc w:val="both"/>
      </w:pPr>
      <w:proofErr w:type="gramStart"/>
      <w:r>
        <w:t xml:space="preserve">Заинтересованным лицам сведения из адресного реестра города Перми (заверенные копии актов, справок и иные документы, на основании которых осуществлена адресация объектов адресации) представляются в порядке, предусмотренном Административным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"Выдача сведений из информационной системы обеспечения градостроительной деятельности города Перми", утвержденным Постановлением администрации города Перми от 2 июля 2012 г. N</w:t>
      </w:r>
      <w:proofErr w:type="gramEnd"/>
      <w:r>
        <w:t xml:space="preserve"> 53-П,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представления документов и сведений из информационной системы обеспечения градостроительной деятельности города Перми, в том числе за плату, утвержденным Постановлением администрации города Перми от 7 апреля 2009 г. N 195.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Title"/>
        <w:jc w:val="center"/>
        <w:outlineLvl w:val="1"/>
      </w:pPr>
      <w:r>
        <w:t>III. Правила нумерации и присвоения адреса объектам</w:t>
      </w:r>
    </w:p>
    <w:p w:rsidR="008819A7" w:rsidRDefault="008819A7">
      <w:pPr>
        <w:pStyle w:val="ConsPlusTitle"/>
        <w:jc w:val="center"/>
      </w:pPr>
      <w:r>
        <w:t>адресации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ind w:firstLine="540"/>
        <w:jc w:val="both"/>
      </w:pPr>
      <w:r>
        <w:t xml:space="preserve">3.1. Существующие адреса сохраняются в прежнем написании, если они позволяют </w:t>
      </w:r>
      <w:r>
        <w:lastRenderedPageBreak/>
        <w:t>однозначно идентифицировать объект адресации (далее - объект).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3.2. Объекты, расположенные в пределах красных линий (в том числе стадионы), нумеруются: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основные объекты недвижимости - целым числом, при отсутствии резерва целых чисел - числом с буквенным индексом;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дополнительные отдельно стоящие объекты - числом с буквенным индексом;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дополнительные объекты, примыкающие к основному (в том числе отдельные части домовладения блокированного индивидуального жилого дома), - дробным числом;</w:t>
      </w:r>
    </w:p>
    <w:p w:rsidR="008819A7" w:rsidRDefault="008819A7">
      <w:pPr>
        <w:pStyle w:val="ConsPlusNormal"/>
        <w:spacing w:before="220"/>
        <w:ind w:firstLine="540"/>
        <w:jc w:val="both"/>
      </w:pPr>
      <w:proofErr w:type="gramStart"/>
      <w:r>
        <w:t>пристройки к объекту адресации, расположенные вне контура его капитальных наружных стен и не имеющие прохода из пристройки в здание, при наличии отдельного входа и имеющие другое функциональное назначение, самостоятельные объекты капитального строительства, пристроенные один к другому полностью или частично, - дробным числом (например, Российская Федерация, Пермский край, Пермский городской округ, г. Пермь, ул. Сибирская, 15/1).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Объекты, расположенные за пределами красных линий, нумеруются целым числом с двойным буквенным индексом (например, Российская Федерация, Пермский край, Пермский городской округ, г. Пермь, ул. Сибирская, 40аа).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3.4. Земельные участки, расположенные в границах территорий ведения гражданами садоводства или огородничества для собственных нужд (территория садоводческого некоммерческого товарищества, территория огороднического некоммерческого товарищества), нумеруются с указанием элемента планировочной структуры и номера земельного участка (например, Российская Федерация, Пермский край, Пермский городской округ, </w:t>
      </w:r>
      <w:proofErr w:type="gramStart"/>
      <w:r>
        <w:t>г</w:t>
      </w:r>
      <w:proofErr w:type="gramEnd"/>
      <w:r>
        <w:t>. Пермь, территория СНТ "Ягодка", участок 1).</w:t>
      </w:r>
    </w:p>
    <w:p w:rsidR="008819A7" w:rsidRDefault="008819A7">
      <w:pPr>
        <w:pStyle w:val="ConsPlusNormal"/>
        <w:spacing w:before="220"/>
        <w:ind w:firstLine="540"/>
        <w:jc w:val="both"/>
      </w:pPr>
      <w:proofErr w:type="gramStart"/>
      <w:r>
        <w:t>Здания, строения, расположенные в границах земельных участков, указанных в абзаце первом настоящего пункта, нумеруются с указанием номера здания, строения (например, Российская Федерация, Пермский край, Пермский городской округ, г. Пермь, территория СНТ "Ягодка", д. 1/стр. 1 (жилое/нежилое).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>Территории садоводческого некоммерческого товарищества, территории огороднического некоммерческого товарищества указываются в структуре адреса как элемент планировочной структуры соответствующей территории (например, территория СНТ "Ягодка").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Гаражи-боксы (строения) в составе гаражно-строительных кооперативов нумеруются с указанием порядкового номера бокса (помещения) с адресом гаражно-строительного кооператива (например, Российская Федерация, Пермский край, Пермский городской округ, г. Пермь, ул. Таганрогская, стр. 15, </w:t>
      </w:r>
      <w:proofErr w:type="spellStart"/>
      <w:r>
        <w:t>помещ</w:t>
      </w:r>
      <w:proofErr w:type="spellEnd"/>
      <w:r>
        <w:t>. 20).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Гаражи-боксы (строения) в составе потребительских кооперативов нумеруются с указанием порядкового номера бокса (помещения) с наименованием элемента планировочной структуры потребительского кооператива (например, Российская Федерация, Пермский край, Пермский городской округ, </w:t>
      </w:r>
      <w:proofErr w:type="gramStart"/>
      <w:r>
        <w:t>г</w:t>
      </w:r>
      <w:proofErr w:type="gramEnd"/>
      <w:r>
        <w:t xml:space="preserve">. Пермь, ПГК N 5, стр. 15, </w:t>
      </w:r>
      <w:proofErr w:type="spellStart"/>
      <w:r>
        <w:t>помещ</w:t>
      </w:r>
      <w:proofErr w:type="spellEnd"/>
      <w:r>
        <w:t>. 20).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3.6. Нумерация объектов адресации производится с востока на запад с нечетными номерами по левой стороне улицы и четными номерами по правой стороне улицы (за исключением исторически сложившихся мест).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Нумерация объектов адресации осуществляется в направлении реки Камы: правый берег - с юга на север, левый берег - с севера на юг и с востока на запад (за исключением исторически сложившихся мест).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lastRenderedPageBreak/>
        <w:t>3.7. Зданиям, находящимся на пересечении улиц различных категорий, при наличии свободных номеров присваивается адрес по улице более высокой категории.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Зданиям, находящимся на пересечении улиц равных категорий, при наличии свободных номеров присваивается адрес по улице, на которую выходит главный фасад здания.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3.8. Присвоение адреса помещениям:</w:t>
      </w:r>
    </w:p>
    <w:p w:rsidR="008819A7" w:rsidRDefault="008819A7">
      <w:pPr>
        <w:pStyle w:val="ConsPlusNormal"/>
        <w:spacing w:before="220"/>
        <w:ind w:firstLine="540"/>
        <w:jc w:val="both"/>
      </w:pPr>
      <w:proofErr w:type="gramStart"/>
      <w:r>
        <w:t xml:space="preserve">нежилые помещения (административные, торговые и другие) в жилых зданиях нумеруются целым числом с добавлением цифры 0 перед числом с указанием адреса строения (например, ул. </w:t>
      </w:r>
      <w:proofErr w:type="spellStart"/>
      <w:r>
        <w:t>Ласьвинская</w:t>
      </w:r>
      <w:proofErr w:type="spellEnd"/>
      <w:r>
        <w:t>, 5, помещение 023);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 xml:space="preserve">помещения в нежилых зданиях нумеруются целым числом (например, ул. </w:t>
      </w:r>
      <w:proofErr w:type="spellStart"/>
      <w:r>
        <w:t>Ласьвинская</w:t>
      </w:r>
      <w:proofErr w:type="spellEnd"/>
      <w:r>
        <w:t xml:space="preserve">, 5, помещение 23), при отсутствии резерва целых чисел - числом с буквенным индексом (например, ул. </w:t>
      </w:r>
      <w:proofErr w:type="spellStart"/>
      <w:r>
        <w:t>Ласьвинская</w:t>
      </w:r>
      <w:proofErr w:type="spellEnd"/>
      <w:r>
        <w:t>, 5, помещение 23а).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В случае объединения помещений в связи с реконструкцией (перепланировкой) такие помещения нумеруются целым меньшим из освободившихся номеров.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При разделе помещений в связи с реконструкцией (перепланировкой) такие помещения нумеруются целым числом, при отсутствии резерва целых чисел - числом с буквенным индексом.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3.9. Адресации не подлежат: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объекты инженерной инфраструктуры, линейные сооружения (линии электропередачи, линии связи, дороги, трубопроводы и другие линейные объекты), а также сооружения, являющиеся неотъемлемой технологической частью указанных объектов;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объекты, не являющиеся объектами капитального строительства;</w:t>
      </w:r>
    </w:p>
    <w:p w:rsidR="008819A7" w:rsidRDefault="008819A7">
      <w:pPr>
        <w:pStyle w:val="ConsPlusNormal"/>
        <w:spacing w:before="220"/>
        <w:ind w:firstLine="540"/>
        <w:jc w:val="both"/>
      </w:pPr>
      <w:proofErr w:type="gramStart"/>
      <w:r>
        <w:t>объекты, расположенные на территории общего пользования (площади, памятники, улицы, проезды, набережные, мосты, скверы, бульвары, парки).</w:t>
      </w:r>
      <w:proofErr w:type="gramEnd"/>
    </w:p>
    <w:p w:rsidR="008819A7" w:rsidRDefault="008819A7">
      <w:pPr>
        <w:pStyle w:val="ConsPlusNormal"/>
        <w:spacing w:before="220"/>
        <w:ind w:firstLine="540"/>
        <w:jc w:val="both"/>
      </w:pPr>
      <w:r>
        <w:t>3.10. Решение о присвоении объекту адресации адреса, изменении или аннулировании его адреса оформляется распоряжением начальника департамента.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Решение о присвоении объекту адресации адреса, изменении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819A7" w:rsidRDefault="008819A7">
      <w:pPr>
        <w:pStyle w:val="ConsPlusNormal"/>
        <w:spacing w:before="220"/>
        <w:ind w:firstLine="540"/>
        <w:jc w:val="both"/>
      </w:pPr>
      <w: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jc w:val="both"/>
      </w:pPr>
    </w:p>
    <w:p w:rsidR="008819A7" w:rsidRDefault="00881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96" w:rsidRDefault="00723196"/>
    <w:sectPr w:rsidR="00723196" w:rsidSect="001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A7"/>
    <w:rsid w:val="003127FE"/>
    <w:rsid w:val="00723196"/>
    <w:rsid w:val="008819A7"/>
    <w:rsid w:val="009C2D90"/>
    <w:rsid w:val="00A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5C112DD89F8D51DA1CBBA41AC30703C0F700875276CC5F7B1183F1A7B51A863EF77E5DFC063F9159650719DC68F563B626FBA3C2A3CBCA5DCEx6OCG" TargetMode="External"/><Relationship Id="rId13" Type="http://schemas.openxmlformats.org/officeDocument/2006/relationships/hyperlink" Target="consultantplus://offline/ref=28AA5C112DD89F8D51DA1CBBA41AC30703C0F700805A70C45D784C89F9FEB9188131A8695AB50A3E9159650217836DE072EE2BFDBBDCABDDD65FCF64x9O2G" TargetMode="External"/><Relationship Id="rId18" Type="http://schemas.openxmlformats.org/officeDocument/2006/relationships/hyperlink" Target="consultantplus://offline/ref=28AA5C112DD89F8D51DA1CBBA41AC30703C0F700805970CF5C704C89F9FEB9188131A8695AB50A3E9159650217836DE072EE2BFDBBDCABDDD65FCF64x9O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AA5C112DD89F8D51DA1CBBA41AC30703C0F700805A7DCB5B754C89F9FEB9188131A8695AB50A3E9159650316836DE072EE2BFDBBDCABDDD65FCF64x9O2G" TargetMode="External"/><Relationship Id="rId7" Type="http://schemas.openxmlformats.org/officeDocument/2006/relationships/hyperlink" Target="consultantplus://offline/ref=28AA5C112DD89F8D51DA1CBBA41AC30703C0F700875B72CB557B1183F1A7B51A863EF77E5DFC063F9159650719DC68F563B626FBA3C2A3CBCA5DCEx6OCG" TargetMode="External"/><Relationship Id="rId12" Type="http://schemas.openxmlformats.org/officeDocument/2006/relationships/hyperlink" Target="consultantplus://offline/ref=28AA5C112DD89F8D51DA1CBBA41AC30703C0F700885876CD5F7B1183F1A7B51A863EF77E5DFC063F9159650719DC68F563B626FBA3C2A3CBCA5DCEx6OCG" TargetMode="External"/><Relationship Id="rId17" Type="http://schemas.openxmlformats.org/officeDocument/2006/relationships/hyperlink" Target="consultantplus://offline/ref=28AA5C112DD89F8D51DA1CBBA41AC30703C0F700835D7CCA5B7B1183F1A7B51A863EF76C5DA40A3F9747650A0C8A39B0x3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AA5C112DD89F8D51DA1CBBA41AC30703C0F700835C77C5597B1183F1A7B51A863EF76C5DA40A3F9747650A0C8A39B0x3OFG" TargetMode="External"/><Relationship Id="rId20" Type="http://schemas.openxmlformats.org/officeDocument/2006/relationships/hyperlink" Target="consultantplus://offline/ref=28AA5C112DD89F8D51DA02B6B2769E0C08CAAD0882597E9A01244ADEA6AEBF4DC171AE3C19F1073E9452315356DD34B130A526F5A3C0ABD4xC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A5C112DD89F8D51DA1CBBA41AC30703C0F700845274C85D7B1183F1A7B51A863EF77E5DFC063F9159650719DC68F563B626FBA3C2A3CBCA5DCEx6OCG" TargetMode="External"/><Relationship Id="rId11" Type="http://schemas.openxmlformats.org/officeDocument/2006/relationships/hyperlink" Target="consultantplus://offline/ref=28AA5C112DD89F8D51DA1CBBA41AC30703C0F700885A75CB547B1183F1A7B51A863EF77E5DFC063F9159650719DC68F563B626FBA3C2A3CBCA5DCEx6OC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8AA5C112DD89F8D51DA1CBBA41AC30703C0F700895974C45A7B1183F1A7B51A863EF77E5DFC063F915B620419DC68F563B626FBA3C2A3CBCA5DCEx6OCG" TargetMode="External"/><Relationship Id="rId15" Type="http://schemas.openxmlformats.org/officeDocument/2006/relationships/hyperlink" Target="consultantplus://offline/ref=28AA5C112DD89F8D51DA1CBBA41AC30703C0F700885876CD5F7B1183F1A7B51A863EF77E5DFC063F9159650719DC68F563B626FBA3C2A3CBCA5DCEx6O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AA5C112DD89F8D51DA1CBBA41AC30703C0F70086527DCB5F7B1183F1A7B51A863EF77E5DFC063F9159610519DC68F563B626FBA3C2A3CBCA5DCEx6OCG" TargetMode="External"/><Relationship Id="rId19" Type="http://schemas.openxmlformats.org/officeDocument/2006/relationships/hyperlink" Target="consultantplus://offline/ref=28AA5C112DD89F8D51DA02B6B2769E0C08CAAD0882597E9A01244ADEA6AEBF4DD371F63019F7193F9947670213x8O1G" TargetMode="External"/><Relationship Id="rId4" Type="http://schemas.openxmlformats.org/officeDocument/2006/relationships/hyperlink" Target="consultantplus://offline/ref=28AA5C112DD89F8D51DA1CBBA41AC30703C0F700845B72CA5B7B1183F1A7B51A863EF77E5DFC063F9159650719DC68F563B626FBA3C2A3CBCA5DCEx6OCG" TargetMode="External"/><Relationship Id="rId9" Type="http://schemas.openxmlformats.org/officeDocument/2006/relationships/hyperlink" Target="consultantplus://offline/ref=28AA5C112DD89F8D51DA1CBBA41AC30703C0F700865E70CD547B1183F1A7B51A863EF77E5DFC063F9159650719DC68F563B626FBA3C2A3CBCA5DCEx6OCG" TargetMode="External"/><Relationship Id="rId14" Type="http://schemas.openxmlformats.org/officeDocument/2006/relationships/hyperlink" Target="consultantplus://offline/ref=28AA5C112DD89F8D51DA1CBBA41AC30703C0F700805970CF5C704C89F9FEB9188131A8695AB50A3E9159650217836DE072EE2BFDBBDCABDDD65FCF64x9O2G" TargetMode="External"/><Relationship Id="rId22" Type="http://schemas.openxmlformats.org/officeDocument/2006/relationships/hyperlink" Target="consultantplus://offline/ref=28AA5C112DD89F8D51DA1CBBA41AC30703C0F700865E7CC9547B1183F1A7B51A863EF77E5DFC063F9159640019DC68F563B626FBA3C2A3CBCA5DCEx6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1961</Words>
  <Characters>11181</Characters>
  <Application>Microsoft Office Word</Application>
  <DocSecurity>0</DocSecurity>
  <Lines>93</Lines>
  <Paragraphs>26</Paragraphs>
  <ScaleCrop>false</ScaleCrop>
  <Company>ДПиР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2019-08-06T06:14:00Z</dcterms:created>
  <dcterms:modified xsi:type="dcterms:W3CDTF">2019-08-06T06:16:00Z</dcterms:modified>
</cp:coreProperties>
</file>